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widowControl/>
        <w:jc w:val="center"/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val="en-US" w:eastAsia="zh-CN"/>
        </w:rPr>
        <w:t>2026年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</w:rPr>
        <w:t>部门整体绩效目标</w:t>
      </w:r>
      <w:r>
        <w:rPr>
          <w:rFonts w:hint="eastAsia" w:ascii="方正小标宋简体" w:hAnsi="Times New Roman" w:eastAsia="方正小标宋简体" w:cs="Times New Roman"/>
          <w:color w:val="auto"/>
          <w:sz w:val="44"/>
          <w:szCs w:val="44"/>
          <w:highlight w:val="none"/>
          <w:lang w:eastAsia="zh-CN"/>
        </w:rPr>
        <w:t>批复</w:t>
      </w:r>
    </w:p>
    <w:tbl>
      <w:tblPr>
        <w:tblStyle w:val="7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05"/>
        <w:gridCol w:w="536"/>
        <w:gridCol w:w="316"/>
        <w:gridCol w:w="1272"/>
        <w:gridCol w:w="1322"/>
        <w:gridCol w:w="182"/>
        <w:gridCol w:w="755"/>
        <w:gridCol w:w="145"/>
        <w:gridCol w:w="854"/>
        <w:gridCol w:w="195"/>
        <w:gridCol w:w="497"/>
        <w:gridCol w:w="457"/>
        <w:gridCol w:w="293"/>
        <w:gridCol w:w="725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部门（单位）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名称</w:t>
            </w:r>
          </w:p>
        </w:tc>
        <w:tc>
          <w:tcPr>
            <w:tcW w:w="775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ind w:firstLine="1470" w:firstLineChars="700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鄂州市财政局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部门总体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资金情况</w:t>
            </w:r>
          </w:p>
        </w:tc>
        <w:tc>
          <w:tcPr>
            <w:tcW w:w="3651" w:type="dxa"/>
            <w:gridSpan w:val="5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总体资金情况</w:t>
            </w:r>
          </w:p>
        </w:tc>
        <w:tc>
          <w:tcPr>
            <w:tcW w:w="1082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当年金额</w:t>
            </w:r>
          </w:p>
        </w:tc>
        <w:tc>
          <w:tcPr>
            <w:tcW w:w="1049" w:type="dxa"/>
            <w:gridSpan w:val="2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占比</w:t>
            </w: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近两年收支金额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365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82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收入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构成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财政拨款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3446.53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100.0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3990.37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3507.95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5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财政专户管理资金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5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单位资金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5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合计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3446.53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3990.37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3507.95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57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支出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构成</w:t>
            </w: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人员类项目支出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1422.59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41.3%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1724.79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1391.90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5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运转类项目支出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1018.59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29.6%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242.09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242.41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5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特定目标类项目支出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1005.34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29.2%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1260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057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25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合计</w:t>
            </w:r>
          </w:p>
        </w:tc>
        <w:tc>
          <w:tcPr>
            <w:tcW w:w="10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3446.53</w:t>
            </w: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100.0%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100%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部门职能概述</w:t>
            </w:r>
          </w:p>
        </w:tc>
        <w:tc>
          <w:tcPr>
            <w:tcW w:w="775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一）拟订全市财税发展规划、政策和改革方案并组织实施。分析预测全市经济形势，参与制定财政经济政策，提出运用财政税收政策实施经济调控和综合平衡社会财力的建议。拟订市级与区级、政府与企业的分配政策，完善鼓励公益事业发展的财税政策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二）起草财政、财务、会计管理等有关规范性文件和制度并监督执行。研究全市经济社会中的财税重大问题，围绕市委市政府中心工作提出改进和完善政府管理、提高财政资金使用效益的建议。监督检查财税法律法规、政策的执行情况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三）负责管理市级各项财政收支。负责编制年度市级预算草案并组织执行。受市政府委托，向市人民代表大会及其常委会报告财政预算、执行和决算等情况。组织制定经费开支标准、定额，负责审核批复市直部门（单位）的年度预决算。完善转移支付制度。负责市级预决算公开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（四）按照法律法规授权，开展税收政策的调查研究。会同有关部门贯彻执行税收政策。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（五）按分工负责政府非税收入管理。负责政府性基金管理，按规定管理行政事业性收费。管理财政票据。按规定管理彩票市场和彩票资金。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（六）组织制定市级国库管理和国库集中收付制度，指导和监督市级国库业务，按规定开展国库现金管理工作。制定政府财务报告编制办法并组织实施。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七）拟订和执行市级政府国内债务管理制度，防范政府债务风险。负责市级政府债券的分配、管理和监督偿还，指导县（市、区）政府性债务管理工作。统一管理政府外债，负责组织外国政府和国际金融组织贷(赠)款项目相关工作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八）牵头编制市级国有资产管理情况报告。根据市政府授权，集中统一履行市级国有金融资本出资人职责，负责政府投资基金市级财政出资的资产管理。负责市级地方金融类机构、地方性融资担保机构的财务监管。拟订市级行政事业单位国有资产管理制度并组织实施。制定需要市级统一规定的开支标准和支出政策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（九）负责审核、汇总编制市级国有资本经营预决算草案。负责制定市级国有资本经营预算的制度和办法，收取市级企业国有资本收益。参与拟订企业国有资产管理相关制度。组织实施企业财务制度。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（十）负责审核、汇总编制全市社会保险基金预决算草案，会同有关部门拟订有关资金（基金）财务管理制度，承担社会保险基金财政监管工作。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（十一）负责办理和监督市级财政的经济发展支出、市级政府性投资项目的财政拨款，参与拟订市级基建投资的有关政策，制定基本建设财务管理制度。负责财政投资评审、财政预算绩效评价工作。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（十二）围绕市委发展战略，服务全市产业发展，负责制定产业发展财政政策，按有关规定管理产业发展资金（基金）。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十三）负责管理全市会计工作，监督和规范会计行为，执行国家会计法律、法规、会计准则和会计制度。按照法律规定和上级授权，指导和监督注册会计师、会计师事务所和代理记账行业的业务，指导和管理社会审计。依法管理资产评估有关工作。指导推进全市注册会计师、资产评估行业政治建设工作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（十四）组织实施全市农村综合改革相关政策措施。负责制定并监督执行市级政府采购制度。负责制定市级财政信息化建设管理制度和技术标准，指导全市财政信息化建设工作。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年度工作任务</w:t>
            </w:r>
          </w:p>
        </w:tc>
        <w:tc>
          <w:tcPr>
            <w:tcW w:w="775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开展财政业务培训工作，规范经费支出，履行财政职能职责，做好全面深化财政体制改革研究宣传工作，促进辖区经济发展。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推进预算单位全面实施预算绩效管理，加强绩效目标编制质量，提高财政资源配置效率，节约财政资金。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严格控制预算开支，按计划及时高效完成202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年改革任务，提供舒适的工作环境，大力普及财政政策，提高党员党性认识，保证机关工作正常运转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4、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按计划完成年初检查任务，检查发现问题及时公开并完成整改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健全财政部门党组履行主体责任工作机制，进一步加强鄂州市注册会计师行业党的建设工作。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6、保证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预算管理一体化系统正常部署运维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财政业务系统平稳运行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财政专网和办公互联网的网络安全保障。</w:t>
            </w:r>
          </w:p>
          <w:p>
            <w:pPr>
              <w:widowControl/>
              <w:snapToGrid w:val="0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7、切实提高财政资金安排的精准性和有效性，强化预算对落实市委、市政府重大政策的保障能力；在全市深化零基预算改革，坚持以政策定项目、以标准定额度、以绩效定增减，深化构建零基预算管理机制。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长期目标：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（截止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2030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 xml:space="preserve"> 年）</w:t>
            </w:r>
          </w:p>
        </w:tc>
        <w:tc>
          <w:tcPr>
            <w:tcW w:w="7549" w:type="dxa"/>
            <w:gridSpan w:val="1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 xml:space="preserve">强化财政资金监管，保障财政资金安全规范有效使用，提升财政资金使用效率。规范经费支出，履行财政职能职责，做好全面深化财政体制改革研究宣传工作，促进辖区经济发展。健全财政部门党组履行主体责任工作机制，进一步加强鄂州市注册会计师行业党的建设工作。推动建成“全方位、全过程、全覆盖”的预算绩效管理体系。增强财政系统运行稳定性，确保财政系统安全，促进财政系统发展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 xml:space="preserve">。按统一标准与颗粒度重新测算2025年项目支出规模并提出中期预算调整建议，并在2026年预算编制中协助明确申报模板、制定编制手册和评审操作指引并审核预算合理性与合规性。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长期绩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效指标</w:t>
            </w:r>
          </w:p>
        </w:tc>
        <w:tc>
          <w:tcPr>
            <w:tcW w:w="536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指标值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指标值确定依据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指标分类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运行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公用经费控制率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≤100%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人员控制率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93%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会议费控制率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≤90%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“三公经费”变动率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中长期规划相符性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基本相符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基本相符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工作计划健全性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预算编制科学性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科学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预算编制合理性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合理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立项规范性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预算调整率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≤5%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预算执行率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结转结余率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政府采购执行率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80%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非税收入预算完成率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事前绩效评估完成率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绩效目标合理性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绩效监控开展率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绩效评价覆盖率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评价结果应用率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≥90%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资产管理制度健全性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资产管理规范性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规范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财务管理制度健全性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健全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会计核算规范性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规范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/基本规范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资金使用合规性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完全合规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/基本合规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履职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会计专业技术资格考试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会计专业技术资格考试组织完成率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预算绩效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  <w:t>评价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预算绩效重点评价任务完成率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财政投资评审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财政投资评审项目按时完成率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零基预算改革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零基预算改革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社会效应</w:t>
            </w: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社会效益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财会监督案件查处公开率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预决算信息公开合规率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会计行业党建覆盖率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服务体制改革成效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行政管理体制改革成效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业务学习与培训完成率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在职无编人员岗位适配率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财会监督数据共享接口建成数量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≥2个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电子凭证与无纸化报销推广单位数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≥50家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399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536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联系部门满意度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财政知识接受教育满意率</w:t>
            </w: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1149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101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highlight w:val="none"/>
              </w:rPr>
              <w:t>年度目标：</w:t>
            </w:r>
          </w:p>
        </w:tc>
        <w:tc>
          <w:tcPr>
            <w:tcW w:w="7754" w:type="dxa"/>
            <w:gridSpan w:val="14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21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推进预算单位全面实施预算绩效管理，加强绩效目标编制质量，提高财政资源配置效率，节约财政资金。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ind w:left="21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按计划完成年初检查任务，检查发现问题及时公开并完成整改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ind w:left="21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严格控制预算开支，按计划及时高效完成202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零基预算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改革任务，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完成干部培训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，大力普及财政政策，提高党员党性认识，保证机关工作正常运转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1"/>
              </w:numPr>
              <w:snapToGrid w:val="0"/>
              <w:ind w:left="21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开展财政业务培训工作，规范经费支出，履行财政职能职责，做好全面深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化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财政体制改革研究宣传工作，促进辖区经济发展。</w:t>
            </w:r>
          </w:p>
          <w:p>
            <w:pPr>
              <w:widowControl/>
              <w:snapToGrid w:val="0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5、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通过自主评审和委托评审的方式，严格审核财政工程类项目投资的预算、结算和决算环节，节省大量财政资金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。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 xml:space="preserve">  6、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 xml:space="preserve">按统一标准与颗粒度重新测算2025年项目支出规模并提出中期预算调整建议，并在2026年预算编制中协助明确申报模板、制定编制手册和评审操作指引并审核预算合理性与合规性。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194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年度绩效指标</w:t>
            </w:r>
          </w:p>
        </w:tc>
        <w:tc>
          <w:tcPr>
            <w:tcW w:w="74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一级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指标</w:t>
            </w: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二级指标</w:t>
            </w:r>
          </w:p>
        </w:tc>
        <w:tc>
          <w:tcPr>
            <w:tcW w:w="1504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三级指标</w:t>
            </w:r>
          </w:p>
        </w:tc>
        <w:tc>
          <w:tcPr>
            <w:tcW w:w="755" w:type="dxa"/>
            <w:tcBorders>
              <w:righ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691" w:type="dxa"/>
            <w:gridSpan w:val="4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指标值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指标值确定依据</w:t>
            </w:r>
          </w:p>
        </w:tc>
        <w:tc>
          <w:tcPr>
            <w:tcW w:w="73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指标分类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754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近两年指标值</w:t>
            </w:r>
          </w:p>
        </w:tc>
        <w:tc>
          <w:tcPr>
            <w:tcW w:w="692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预期当年实现值</w:t>
            </w:r>
          </w:p>
        </w:tc>
        <w:tc>
          <w:tcPr>
            <w:tcW w:w="750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25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  <w:lang w:val="en-US" w:eastAsia="zh-CN"/>
              </w:rPr>
              <w:t>2024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年</w:t>
            </w:r>
          </w:p>
        </w:tc>
        <w:tc>
          <w:tcPr>
            <w:tcW w:w="692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50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25" w:type="dxa"/>
            <w:vMerge w:val="continue"/>
            <w:tcBorders>
              <w:left w:val="nil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运行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成本</w:t>
            </w: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公用经费控制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公用经费控制率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≤100%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≤100%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≤100%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在职人员控制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人员控制率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93%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93%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93%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项目支出成本控制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会议费控制率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≤90%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≤90%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≤90%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“三公经费”变动率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管理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效率</w:t>
            </w: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战略管理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中长期规划相符性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基本相符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基本相符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基本相符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工作计划健全性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预算编制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预算编制科学性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科学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u w:val="singl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预算编制合理性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立项规范性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预算调整率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预算执行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预算执行率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结转结余率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政府采购执行率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99.7%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99.7%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非税收入预算完成率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预算支出标准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绩效管理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事前绩效评估完成率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绩效目标合理性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合理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绩效监控开展率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绩效评价覆盖率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评价结果应用率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≥90%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≥90%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资产管理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资产管理制度健全性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资产管理规范性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财务管理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财务管理制度健全性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健全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会计核算规范性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规范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资金使用合规性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合规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履职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效能</w:t>
            </w: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会计专业技术资格考试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会计专业技术资格考试组织完成率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财会监督检查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财会监督检查问题整改率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≥90%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≥90%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预算绩效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  <w:lang w:val="en-US" w:eastAsia="zh-CN"/>
              </w:rPr>
              <w:t>评价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预算绩效重点评价任务完成率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财政投资评审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财政投资评审项目按时完成率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≥95%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≥95%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零基预算改革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零基预算改革关键成果交付率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社会</w:t>
            </w:r>
          </w:p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效应</w:t>
            </w: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社会效益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财会监督案件查处公开率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财政政策宣传触达单位数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≥150家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≥150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家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≥200家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会计人员培训覆盖率（万人次）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0.6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人次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0.7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万人次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0.8万人次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4"/>
                <w:highlight w:val="none"/>
                <w:shd w:val="clear" w:color="auto" w:fill="auto"/>
              </w:rPr>
              <w:t>会计行业党建覆盖率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可持续发展能力</w:t>
            </w: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体制机制改革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财会监督协同机制建立情况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建立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建立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建立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  <w:p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财政资金统筹整合机制建设完成率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人才支撑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在职无编人员岗位适配率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绩效基本型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青年骨干参与改革项目比例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0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≥30%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科技支撑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60A26"/>
                <w:spacing w:val="0"/>
                <w:sz w:val="21"/>
                <w:szCs w:val="21"/>
                <w:highlight w:val="none"/>
                <w:shd w:val="clear" w:color="auto" w:fill="FFFFFF"/>
              </w:rPr>
              <w:t>预算管理一体化系统功能使用率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行业标准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网络安全与数据备份达标率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100%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计划标准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满意度</w:t>
            </w: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服务对象满意度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群众满意度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3" w:hRule="atLeast"/>
        </w:trPr>
        <w:tc>
          <w:tcPr>
            <w:tcW w:w="1194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74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</w:p>
        </w:tc>
        <w:tc>
          <w:tcPr>
            <w:tcW w:w="1588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  <w:t>联系部门满意度</w:t>
            </w:r>
          </w:p>
        </w:tc>
        <w:tc>
          <w:tcPr>
            <w:tcW w:w="150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财政知识接受教育满意率</w:t>
            </w:r>
          </w:p>
        </w:tc>
        <w:tc>
          <w:tcPr>
            <w:tcW w:w="90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854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692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90%</w:t>
            </w:r>
          </w:p>
        </w:tc>
        <w:tc>
          <w:tcPr>
            <w:tcW w:w="75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历史标准</w:t>
            </w:r>
          </w:p>
        </w:tc>
        <w:tc>
          <w:tcPr>
            <w:tcW w:w="725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highlight w:val="none"/>
                <w:lang w:val="en-US" w:eastAsia="zh-CN"/>
              </w:rPr>
              <w:t>绩效创新型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04DD0"/>
    <w:multiLevelType w:val="singleLevel"/>
    <w:tmpl w:val="A9004DD0"/>
    <w:lvl w:ilvl="0" w:tentative="0">
      <w:start w:val="1"/>
      <w:numFmt w:val="decimal"/>
      <w:suff w:val="nothing"/>
      <w:lvlText w:val="%1、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B111A"/>
    <w:rsid w:val="01AC3A93"/>
    <w:rsid w:val="066A7C2E"/>
    <w:rsid w:val="090715AF"/>
    <w:rsid w:val="13C06F5C"/>
    <w:rsid w:val="148368D6"/>
    <w:rsid w:val="14E672B6"/>
    <w:rsid w:val="18420856"/>
    <w:rsid w:val="1AF761D0"/>
    <w:rsid w:val="1C8B457A"/>
    <w:rsid w:val="1F83751B"/>
    <w:rsid w:val="1FAB6CE1"/>
    <w:rsid w:val="21577037"/>
    <w:rsid w:val="323C7CD4"/>
    <w:rsid w:val="33F02052"/>
    <w:rsid w:val="34394463"/>
    <w:rsid w:val="39315A0D"/>
    <w:rsid w:val="443A3CE1"/>
    <w:rsid w:val="46330243"/>
    <w:rsid w:val="53A9169E"/>
    <w:rsid w:val="5B527B48"/>
    <w:rsid w:val="5F1F0576"/>
    <w:rsid w:val="5F8B7CED"/>
    <w:rsid w:val="613C71BD"/>
    <w:rsid w:val="63E6740C"/>
    <w:rsid w:val="68134B22"/>
    <w:rsid w:val="685B4291"/>
    <w:rsid w:val="6BC229B5"/>
    <w:rsid w:val="78F8615C"/>
    <w:rsid w:val="7A5E66BF"/>
    <w:rsid w:val="7ACC5BC7"/>
    <w:rsid w:val="7D480840"/>
    <w:rsid w:val="7FFB111A"/>
    <w:rsid w:val="A9FFB534"/>
    <w:rsid w:val="BE5DCC56"/>
    <w:rsid w:val="BF7FE280"/>
    <w:rsid w:val="DFBD9784"/>
    <w:rsid w:val="FCEB8B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4000</Words>
  <Characters>4345</Characters>
  <Lines>0</Lines>
  <Paragraphs>0</Paragraphs>
  <TotalTime>0</TotalTime>
  <ScaleCrop>false</ScaleCrop>
  <LinksUpToDate>false</LinksUpToDate>
  <CharactersWithSpaces>4407</CharactersWithSpaces>
  <Application>WPS Office_12.8.2.15290_F1E327BC-269C-435d-A152-05C5408002CA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2025-12-17T01:04:00Z</dcterms:created>
  <dc:creator>huawei</dc:creator>
  <cp:lastModifiedBy>huawei</cp:lastModifiedBy>
  <dcterms:modified xsi:type="dcterms:W3CDTF">2026-02-02T17:18:31Z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2052-12.8.2.15290</vt:lpwstr>
  </property>
  <property fmtid="{D5CDD505-2E9C-101B-9397-08002B2CF9AE}" pid="3" name="ICV">
    <vt:lpwstr>EBBD1EDC2B14378AC3537F6980E9BACF_43</vt:lpwstr>
  </property>
  <property fmtid="{D5CDD505-2E9C-101B-9397-08002B2CF9AE}" pid="4" name="KSOTemplateDocerSaveRecord">
    <vt:lpwstr>eyJoZGlkIjoiY2U2ZTNiMWFhODNlMmRiZjk2NmYyNjc3YTc5MmUyZWEiLCJ1c2VySWQiOiI1MTM3MjcxNDcifQ==</vt:lpwstr>
  </property>
</Properties>
</file>